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r>
        <w:rPr>
          <w:b/>
          <w:color w:val="1F4E79"/>
          <w:sz w:val="40"/>
        </w:rPr>
        <w:t>Jamain</w:t>
      </w:r>
    </w:p>
    <w:p>
      <w:pPr>
        <w:spacing w:after="80"/>
      </w:pPr>
      <w:r>
        <w:rPr>
          <w:b/>
          <w:color w:val="2D2D2D"/>
          <w:sz w:val="26"/>
        </w:rPr>
        <w:t>Capability Statement</w:t>
      </w:r>
    </w:p>
    <w:p>
      <w:pPr>
        <w:spacing w:after="80"/>
      </w:pPr>
      <w:r>
        <w:rPr>
          <w:color w:val="646464"/>
          <w:sz w:val="19"/>
        </w:rPr>
        <w:t>Senior software engineering, secure maintenance and legacy systems support</w:t>
      </w:r>
    </w:p>
    <w:tbl>
      <w:tblPr>
        <w:tblW w:type="auto" w:w="0"/>
        <w:jc w:val="center"/>
        <w:tblLayout w:type="autofit"/>
        <w:tblLook w:firstColumn="1" w:firstRow="1" w:lastColumn="0" w:lastRow="0" w:noHBand="0" w:noVBand="1" w:val="04A0"/>
      </w:tblPr>
      <w:tblGrid>
        <w:gridCol w:w="3552"/>
        <w:gridCol w:w="3552"/>
        <w:gridCol w:w="3552"/>
      </w:tblGrid>
      <w:tr>
        <w:tc>
          <w:tcPr>
            <w:tcW w:type="dxa" w:w="3552"/>
            <w:shd w:fill="1F4E79"/>
            <w:tcMar>
              <w:top w:w="80" w:type="dxa"/>
              <w:start w:w="80" w:type="dxa"/>
              <w:bottom w:w="80" w:type="dxa"/>
              <w:end w:w="80" w:type="dxa"/>
            </w:tcMar>
            <w:vAlign w:val="center"/>
          </w:tcPr>
          <w:p>
            <w:pPr>
              <w:jc w:val="center"/>
            </w:pPr>
            <w:r>
              <w:rPr>
                <w:b/>
                <w:color w:val="FFFFFF"/>
                <w:sz w:val="17"/>
              </w:rPr>
              <w:t>https://www.jamain.com.au</w:t>
            </w:r>
          </w:p>
        </w:tc>
        <w:tc>
          <w:tcPr>
            <w:tcW w:type="dxa" w:w="3552"/>
            <w:shd w:fill="1F4E79"/>
            <w:tcMar>
              <w:top w:w="80" w:type="dxa"/>
              <w:start w:w="80" w:type="dxa"/>
              <w:bottom w:w="80" w:type="dxa"/>
              <w:end w:w="80" w:type="dxa"/>
            </w:tcMar>
            <w:vAlign w:val="center"/>
          </w:tcPr>
          <w:p>
            <w:pPr>
              <w:jc w:val="center"/>
            </w:pPr>
            <w:r>
              <w:rPr>
                <w:b/>
                <w:color w:val="FFFFFF"/>
                <w:sz w:val="17"/>
              </w:rPr>
              <w:t>enquiries@jamain.com.au</w:t>
            </w:r>
          </w:p>
        </w:tc>
        <w:tc>
          <w:tcPr>
            <w:tcW w:type="dxa" w:w="3552"/>
            <w:shd w:fill="1F4E79"/>
            <w:tcMar>
              <w:top w:w="80" w:type="dxa"/>
              <w:start w:w="80" w:type="dxa"/>
              <w:bottom w:w="80" w:type="dxa"/>
              <w:end w:w="80" w:type="dxa"/>
            </w:tcMar>
            <w:vAlign w:val="center"/>
          </w:tcPr>
          <w:p>
            <w:pPr>
              <w:jc w:val="center"/>
            </w:pPr>
            <w:r>
              <w:rPr>
                <w:b/>
                <w:color w:val="FFFFFF"/>
                <w:sz w:val="17"/>
              </w:rPr>
              <w:t>Remote-first delivery across Australia</w:t>
            </w:r>
          </w:p>
        </w:tc>
      </w:tr>
    </w:tbl>
    <w:p>
      <w:pPr>
        <w:spacing w:after="0"/>
      </w:pPr>
    </w:p>
    <w:p>
      <w:pPr>
        <w:spacing w:after="40"/>
      </w:pPr>
      <w:r>
        <w:rPr>
          <w:b w:val="0"/>
          <w:i w:val="0"/>
          <w:sz w:val="18"/>
        </w:rPr>
        <w:t>Jamain provides senior software engineering and systems support for organisations that rely on business-critical software, legacy applications, databases, web systems and mixed Windows/Linux infrastructure.</w:t>
      </w:r>
    </w:p>
    <w:p>
      <w:pPr>
        <w:spacing w:after="80"/>
      </w:pPr>
      <w:r>
        <w:rPr>
          <w:b w:val="0"/>
          <w:i w:val="0"/>
        </w:rPr>
        <w:t>We specialise in practical, low-risk improvement of existing systems. The work is suited to organisations that need experienced technical capability without hiring a full-time senior engineer or engaging a large consulting firm.</w:t>
      </w:r>
    </w:p>
    <w:p>
      <w:pPr>
        <w:pStyle w:val="Heading1"/>
      </w:pPr>
      <w:r>
        <w:rPr>
          <w:b w:val="0"/>
          <w:i w:val="0"/>
        </w:rPr>
        <w:t>Core capabilities</w:t>
      </w:r>
    </w:p>
    <w:tbl>
      <w:tblPr>
        <w:tblW w:type="auto" w:w="0"/>
        <w:jc w:val="center"/>
        <w:tblLayout w:type="autofit"/>
        <w:tblLook w:firstColumn="1" w:firstRow="1" w:lastColumn="0" w:lastRow="0" w:noHBand="0" w:noVBand="1" w:val="04A0"/>
      </w:tblPr>
      <w:tblGrid>
        <w:gridCol w:w="5328"/>
        <w:gridCol w:w="5328"/>
      </w:tblGrid>
      <w:tr>
        <w:tc>
          <w:tcPr>
            <w:tcW w:type="dxa" w:w="5328"/>
            <w:tcMar>
              <w:top w:w="80" w:type="dxa"/>
              <w:start w:w="110" w:type="dxa"/>
              <w:bottom w:w="80" w:type="dxa"/>
              <w:end w:w="110" w:type="dxa"/>
            </w:tcMar>
            <w:vAlign w:val="top"/>
          </w:tcPr>
          <w:p>
            <w:r>
              <w:rPr>
                <w:b/>
                <w:color w:val="1F4E79"/>
                <w:sz w:val="20"/>
              </w:rPr>
              <w:t>Software and systems</w:t>
            </w:r>
          </w:p>
          <w:p>
            <w:pPr>
              <w:pStyle w:val="ListBullet"/>
              <w:spacing w:before="0" w:after="0"/>
            </w:pPr>
            <w:r>
              <w:rPr>
                <w:sz w:val="17"/>
              </w:rPr>
              <w:t>Legacy application maintenance and modernisation</w:t>
            </w:r>
          </w:p>
          <w:p>
            <w:pPr>
              <w:pStyle w:val="ListBullet"/>
              <w:spacing w:before="0" w:after="0"/>
            </w:pPr>
            <w:r>
              <w:rPr>
                <w:sz w:val="17"/>
              </w:rPr>
              <w:t>Full stack development and internal business tools</w:t>
            </w:r>
          </w:p>
          <w:p>
            <w:pPr>
              <w:pStyle w:val="ListBullet"/>
              <w:spacing w:before="0" w:after="0"/>
            </w:pPr>
            <w:r>
              <w:rPr>
                <w:sz w:val="17"/>
              </w:rPr>
              <w:t>SQL-heavy reporting, reconciliation and business rules</w:t>
            </w:r>
          </w:p>
          <w:p>
            <w:pPr>
              <w:pStyle w:val="ListBullet"/>
              <w:spacing w:before="0" w:after="0"/>
            </w:pPr>
            <w:r>
              <w:rPr>
                <w:sz w:val="17"/>
              </w:rPr>
              <w:t>APIs, automation and integration services</w:t>
            </w:r>
          </w:p>
        </w:tc>
        <w:tc>
          <w:tcPr>
            <w:tcW w:type="dxa" w:w="5328"/>
            <w:tcMar>
              <w:top w:w="80" w:type="dxa"/>
              <w:start w:w="110" w:type="dxa"/>
              <w:bottom w:w="80" w:type="dxa"/>
              <w:end w:w="110" w:type="dxa"/>
            </w:tcMar>
            <w:vAlign w:val="top"/>
          </w:tcPr>
          <w:p>
            <w:r>
              <w:rPr>
                <w:b/>
                <w:color w:val="1F4E79"/>
                <w:sz w:val="20"/>
              </w:rPr>
              <w:t>Infrastructure and security</w:t>
            </w:r>
          </w:p>
          <w:p>
            <w:pPr>
              <w:pStyle w:val="ListBullet"/>
              <w:spacing w:before="0" w:after="0"/>
            </w:pPr>
            <w:r>
              <w:rPr>
                <w:sz w:val="17"/>
              </w:rPr>
              <w:t>Secure maintenance and vulnerability response</w:t>
            </w:r>
          </w:p>
          <w:p>
            <w:pPr>
              <w:pStyle w:val="ListBullet"/>
              <w:spacing w:before="0" w:after="0"/>
            </w:pPr>
            <w:r>
              <w:rPr>
                <w:sz w:val="17"/>
              </w:rPr>
              <w:t>Linux and Windows server administration</w:t>
            </w:r>
          </w:p>
          <w:p>
            <w:pPr>
              <w:pStyle w:val="ListBullet"/>
              <w:spacing w:before="0" w:after="0"/>
            </w:pPr>
            <w:r>
              <w:rPr>
                <w:sz w:val="17"/>
              </w:rPr>
              <w:t>Apache, IIS, Tomcat, Java, PHP and related stacks</w:t>
            </w:r>
          </w:p>
          <w:p>
            <w:pPr>
              <w:pStyle w:val="ListBullet"/>
              <w:spacing w:before="0" w:after="0"/>
            </w:pPr>
            <w:r>
              <w:rPr>
                <w:sz w:val="17"/>
              </w:rPr>
              <w:t>Mail servers, DNS, web services and deployment support</w:t>
            </w:r>
          </w:p>
        </w:tc>
      </w:tr>
    </w:tbl>
    <w:p>
      <w:pPr>
        <w:pStyle w:val="Heading1"/>
      </w:pPr>
      <w:r>
        <w:rPr>
          <w:b w:val="0"/>
          <w:i w:val="0"/>
        </w:rPr>
        <w:t>Suitable engagements</w:t>
      </w:r>
    </w:p>
    <w:p>
      <w:pPr>
        <w:pStyle w:val="ListBullet"/>
        <w:spacing w:before="0" w:after="0"/>
      </w:pPr>
      <w:r>
        <w:rPr>
          <w:sz w:val="17"/>
        </w:rPr>
        <w:t>Senior technical judgement on existing business-critical systems.</w:t>
      </w:r>
    </w:p>
    <w:p>
      <w:pPr>
        <w:pStyle w:val="ListBullet"/>
        <w:spacing w:before="0" w:after="0"/>
      </w:pPr>
      <w:r>
        <w:rPr>
          <w:sz w:val="17"/>
        </w:rPr>
        <w:t>Long-term remote contractor, retainer or part-time senior engineering support.</w:t>
      </w:r>
    </w:p>
    <w:p>
      <w:pPr>
        <w:pStyle w:val="ListBullet"/>
        <w:spacing w:before="0" w:after="0"/>
      </w:pPr>
      <w:r>
        <w:rPr>
          <w:sz w:val="17"/>
        </w:rPr>
        <w:t>Support for legacy applications that current staff do not fully understand.</w:t>
      </w:r>
    </w:p>
    <w:p>
      <w:pPr>
        <w:pStyle w:val="ListBullet"/>
        <w:spacing w:before="0" w:after="0"/>
      </w:pPr>
      <w:r>
        <w:rPr>
          <w:sz w:val="17"/>
        </w:rPr>
        <w:t>Secure patching and maintenance of production software stacks.</w:t>
      </w:r>
    </w:p>
    <w:p>
      <w:pPr>
        <w:pStyle w:val="ListBullet"/>
        <w:spacing w:before="0" w:after="0"/>
      </w:pPr>
      <w:r>
        <w:rPr>
          <w:sz w:val="17"/>
        </w:rPr>
        <w:t>Investigation of reporting, data or reconciliation problems.</w:t>
      </w:r>
    </w:p>
    <w:p>
      <w:pPr>
        <w:pStyle w:val="ListBullet"/>
        <w:spacing w:before="0" w:after="0"/>
      </w:pPr>
      <w:r>
        <w:rPr>
          <w:sz w:val="17"/>
        </w:rPr>
        <w:t>Careful improvement of systems where a rewrite would be too risky.</w:t>
      </w:r>
    </w:p>
    <w:p>
      <w:pPr>
        <w:pStyle w:val="Heading1"/>
      </w:pPr>
      <w:r>
        <w:rPr>
          <w:b w:val="0"/>
          <w:i w:val="0"/>
        </w:rPr>
        <w:t>Technical breadth</w:t>
      </w:r>
    </w:p>
    <w:tbl>
      <w:tblPr>
        <w:tblW w:type="auto" w:w="0"/>
        <w:jc w:val="center"/>
        <w:tblLook w:firstColumn="1" w:firstRow="1" w:lastColumn="0" w:lastRow="0" w:noHBand="0" w:noVBand="1" w:val="04A0"/>
      </w:tblPr>
      <w:tblGrid>
        <w:gridCol w:w="5328"/>
        <w:gridCol w:w="5328"/>
      </w:tblGrid>
      <w:tr>
        <w:tc>
          <w:tcPr>
            <w:tcW w:type="dxa" w:w="5328"/>
            <w:tcMar>
              <w:top w:w="55" w:type="dxa"/>
              <w:start w:w="80" w:type="dxa"/>
              <w:bottom w:w="55" w:type="dxa"/>
              <w:end w:w="80" w:type="dxa"/>
            </w:tcMar>
            <w:shd w:fill="EDEDED"/>
          </w:tcPr>
          <w:p>
            <w:r/>
            <w:r>
              <w:rPr>
                <w:b/>
                <w:color w:val="1F4E79"/>
                <w:sz w:val="17"/>
              </w:rPr>
              <w:t>Languages</w:t>
            </w:r>
          </w:p>
        </w:tc>
        <w:tc>
          <w:tcPr>
            <w:tcW w:type="dxa" w:w="5328"/>
            <w:tcMar>
              <w:top w:w="55" w:type="dxa"/>
              <w:start w:w="80" w:type="dxa"/>
              <w:bottom w:w="55" w:type="dxa"/>
              <w:end w:w="80" w:type="dxa"/>
            </w:tcMar>
          </w:tcPr>
          <w:p>
            <w:r/>
            <w:r>
              <w:rPr>
                <w:b w:val="0"/>
                <w:sz w:val="16"/>
              </w:rPr>
              <w:t>Python, Perl, Java, JavaScript, HTML, SQL, C, C++, Delphi, assembler, Ruby, PHP</w:t>
            </w:r>
          </w:p>
        </w:tc>
      </w:tr>
      <w:tr>
        <w:tc>
          <w:tcPr>
            <w:tcW w:type="dxa" w:w="5328"/>
            <w:tcMar>
              <w:top w:w="55" w:type="dxa"/>
              <w:start w:w="80" w:type="dxa"/>
              <w:bottom w:w="55" w:type="dxa"/>
              <w:end w:w="80" w:type="dxa"/>
            </w:tcMar>
            <w:shd w:fill="EDEDED"/>
          </w:tcPr>
          <w:p>
            <w:r/>
            <w:r>
              <w:rPr>
                <w:b/>
                <w:color w:val="1F4E79"/>
                <w:sz w:val="17"/>
              </w:rPr>
              <w:t>Platforms</w:t>
            </w:r>
          </w:p>
        </w:tc>
        <w:tc>
          <w:tcPr>
            <w:tcW w:type="dxa" w:w="5328"/>
            <w:tcMar>
              <w:top w:w="55" w:type="dxa"/>
              <w:start w:w="80" w:type="dxa"/>
              <w:bottom w:w="55" w:type="dxa"/>
              <w:end w:w="80" w:type="dxa"/>
            </w:tcMar>
          </w:tcPr>
          <w:p>
            <w:r/>
            <w:r>
              <w:rPr>
                <w:b w:val="0"/>
                <w:sz w:val="16"/>
              </w:rPr>
              <w:t>Linux, Windows Server, desktop Windows, virtualised server environments</w:t>
            </w:r>
          </w:p>
        </w:tc>
      </w:tr>
      <w:tr>
        <w:tc>
          <w:tcPr>
            <w:tcW w:type="dxa" w:w="5328"/>
            <w:tcMar>
              <w:top w:w="55" w:type="dxa"/>
              <w:start w:w="80" w:type="dxa"/>
              <w:bottom w:w="55" w:type="dxa"/>
              <w:end w:w="80" w:type="dxa"/>
            </w:tcMar>
            <w:shd w:fill="EDEDED"/>
          </w:tcPr>
          <w:p>
            <w:r/>
            <w:r>
              <w:rPr>
                <w:b/>
                <w:color w:val="1F4E79"/>
                <w:sz w:val="17"/>
              </w:rPr>
              <w:t>Application stacks</w:t>
            </w:r>
          </w:p>
        </w:tc>
        <w:tc>
          <w:tcPr>
            <w:tcW w:type="dxa" w:w="5328"/>
            <w:tcMar>
              <w:top w:w="55" w:type="dxa"/>
              <w:start w:w="80" w:type="dxa"/>
              <w:bottom w:w="55" w:type="dxa"/>
              <w:end w:w="80" w:type="dxa"/>
            </w:tcMar>
          </w:tcPr>
          <w:p>
            <w:r/>
            <w:r>
              <w:rPr>
                <w:b w:val="0"/>
                <w:sz w:val="16"/>
              </w:rPr>
              <w:t>Apache, IIS, Tomcat, Java, PHP, Log4J, web services, APIs, databases</w:t>
            </w:r>
          </w:p>
        </w:tc>
      </w:tr>
      <w:tr>
        <w:tc>
          <w:tcPr>
            <w:tcW w:type="dxa" w:w="5328"/>
            <w:tcMar>
              <w:top w:w="55" w:type="dxa"/>
              <w:start w:w="80" w:type="dxa"/>
              <w:bottom w:w="55" w:type="dxa"/>
              <w:end w:w="80" w:type="dxa"/>
            </w:tcMar>
            <w:shd w:fill="EDEDED"/>
          </w:tcPr>
          <w:p>
            <w:r/>
            <w:r>
              <w:rPr>
                <w:b/>
                <w:color w:val="1F4E79"/>
                <w:sz w:val="17"/>
              </w:rPr>
              <w:t>Delivery</w:t>
            </w:r>
          </w:p>
        </w:tc>
        <w:tc>
          <w:tcPr>
            <w:tcW w:type="dxa" w:w="5328"/>
            <w:tcMar>
              <w:top w:w="55" w:type="dxa"/>
              <w:start w:w="80" w:type="dxa"/>
              <w:bottom w:w="55" w:type="dxa"/>
              <w:end w:w="80" w:type="dxa"/>
            </w:tcMar>
          </w:tcPr>
          <w:p>
            <w:r/>
            <w:r>
              <w:rPr>
                <w:b w:val="0"/>
                <w:sz w:val="16"/>
              </w:rPr>
              <w:t>Remote-first support, documented change processes, staging updates, rollback planning</w:t>
            </w:r>
          </w:p>
        </w:tc>
      </w:tr>
    </w:tbl>
    <w:p>
      <w:pPr>
        <w:pStyle w:val="Heading1"/>
      </w:pPr>
      <w:r>
        <w:rPr>
          <w:b w:val="0"/>
          <w:i w:val="0"/>
        </w:rPr>
        <w:t>Delivery approach</w:t>
      </w:r>
    </w:p>
    <w:p>
      <w:pPr>
        <w:spacing w:after="40"/>
      </w:pPr>
      <w:r>
        <w:rPr>
          <w:b w:val="0"/>
          <w:i w:val="0"/>
        </w:rPr>
        <w:t>Jamain works remote-first using secure access, agreed communication channels, documented changes, status updates, staging environments and rollback planning. The focus is on understanding the existing system before changing it, preserving business behaviour unless change is intentional, and communicating technical issues in plain business language.</w:t>
      </w:r>
    </w:p>
    <w:p>
      <w:pPr>
        <w:pStyle w:val="Heading1"/>
      </w:pPr>
      <w:r>
        <w:rPr>
          <w:b w:val="0"/>
          <w:i w:val="0"/>
        </w:rPr>
        <w:t>Contact</w:t>
      </w:r>
    </w:p>
    <w:p>
      <w:pPr>
        <w:spacing w:after="0"/>
      </w:pPr>
      <w:r>
        <w:rPr>
          <w:b w:val="0"/>
          <w:i w:val="0"/>
        </w:rPr>
        <w:t>Jamain | enquiries@jamain.com.au | https://www.jamain.com.au</w:t>
        <w:br/>
        <w:t>Further technical CV and references are available for suitable engagements.</w:t>
      </w:r>
    </w:p>
    <w:sectPr w:rsidR="00FC693F" w:rsidRPr="0006063C" w:rsidSect="00034616">
      <w:headerReference w:type="default" r:id="rId9"/>
      <w:footerReference w:type="default" r:id="rId10"/>
      <w:pgSz w:w="12240" w:h="15840"/>
      <w:pgMar w:top="720" w:right="792" w:bottom="720" w:left="792"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46464"/>
        <w:sz w:val="15"/>
      </w:rPr>
      <w:t>enquiries@jamain.com.au | https://www.jamain.com.au</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color w:val="646464"/>
        <w:sz w:val="16"/>
      </w:rPr>
      <w:t>Jamain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color w:val="2D2D2D"/>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80" w:after="40"/>
      <w:outlineLvl w:val="0"/>
    </w:pPr>
    <w:rPr>
      <w:rFonts w:asciiTheme="majorHAnsi" w:eastAsiaTheme="majorEastAsia" w:hAnsiTheme="majorHAnsi" w:cstheme="majorBidi" w:ascii="Arial" w:hAnsi="Arial" w:eastAsia="Arial"/>
      <w:b/>
      <w:bCs/>
      <w:color w:val="1F4E79"/>
      <w:sz w:val="26"/>
      <w:szCs w:val="28"/>
    </w:rPr>
  </w:style>
  <w:style w:type="paragraph" w:styleId="Heading2">
    <w:name w:val="heading 2"/>
    <w:basedOn w:val="Normal"/>
    <w:next w:val="Normal"/>
    <w:link w:val="Heading2Char"/>
    <w:uiPriority w:val="9"/>
    <w:unhideWhenUsed/>
    <w:qFormat/>
    <w:rsid w:val="00FC693F"/>
    <w:pPr>
      <w:keepNext/>
      <w:keepLines/>
      <w:spacing w:before="80" w:after="40"/>
      <w:outlineLvl w:val="1"/>
    </w:pPr>
    <w:rPr>
      <w:rFonts w:asciiTheme="majorHAnsi" w:eastAsiaTheme="majorEastAsia" w:hAnsiTheme="majorHAnsi" w:cstheme="majorBidi" w:ascii="Arial" w:hAnsi="Arial" w:eastAsia="Arial"/>
      <w:b/>
      <w:bCs/>
      <w:color w:val="1F4E79"/>
      <w:sz w:val="21"/>
      <w:szCs w:val="26"/>
    </w:rPr>
  </w:style>
  <w:style w:type="paragraph" w:styleId="Heading3">
    <w:name w:val="heading 3"/>
    <w:basedOn w:val="Normal"/>
    <w:next w:val="Normal"/>
    <w:link w:val="Heading3Char"/>
    <w:uiPriority w:val="9"/>
    <w:unhideWhenUsed/>
    <w:qFormat/>
    <w:rsid w:val="00FC693F"/>
    <w:pPr>
      <w:keepNext/>
      <w:keepLines/>
      <w:spacing w:before="80" w:after="40"/>
      <w:outlineLvl w:val="2"/>
    </w:pPr>
    <w:rPr>
      <w:rFonts w:asciiTheme="majorHAnsi" w:eastAsiaTheme="majorEastAsia" w:hAnsiTheme="majorHAnsi" w:cstheme="majorBidi" w:ascii="Arial" w:hAnsi="Arial" w:eastAsia="Arial"/>
      <w:b/>
      <w:bCs/>
      <w:color w:val="2D2D2D"/>
      <w:sz w:val="19"/>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40" w:line="240" w:lineRule="auto" w:before="80"/>
      <w:contextualSpacing/>
    </w:pPr>
    <w:rPr>
      <w:rFonts w:asciiTheme="majorHAnsi" w:eastAsiaTheme="majorEastAsia" w:hAnsiTheme="majorHAnsi" w:cstheme="majorBidi" w:ascii="Arial" w:hAnsi="Arial" w:eastAsia="Arial"/>
      <w:b/>
      <w:color w:val="1F4E79"/>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eastAsia="Arial"/>
      <w:sz w:val="18"/>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Jamain Capability Statement</dc:title>
  <dc:subject>Jamain Capability Statement</dc:subject>
  <dc:creator>Jamain</dc:creator>
  <cp:keywords>Jamain, software engineering, legacy systems, secure maintenance</cp:keywords>
  <dc:description>generated by python-docx</dc:description>
  <cp:lastModifiedBy/>
  <cp:revision>1</cp:revision>
  <dcterms:created xsi:type="dcterms:W3CDTF">2013-12-23T23:15:00Z</dcterms:created>
  <dcterms:modified xsi:type="dcterms:W3CDTF">2013-12-23T23:15:00Z</dcterms:modified>
  <cp:category/>
</cp:coreProperties>
</file>